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8B99" w14:textId="48851DF3" w:rsidR="00FF50AC" w:rsidRPr="00FF50AC" w:rsidRDefault="00101132" w:rsidP="00FF50AC">
      <w:pPr>
        <w:shd w:val="clear" w:color="auto" w:fill="FFFFFF"/>
        <w:jc w:val="center"/>
        <w:outlineLvl w:val="2"/>
        <w:rPr>
          <w:rFonts w:ascii="Arial" w:eastAsia="Times New Roman" w:hAnsi="Arial" w:cs="Arial"/>
          <w:b/>
          <w:bCs/>
          <w:color w:val="002060"/>
          <w:kern w:val="0"/>
          <w:sz w:val="32"/>
          <w:szCs w:val="32"/>
          <w:u w:val="single"/>
          <w:lang w:eastAsia="en-GB"/>
          <w14:ligatures w14:val="none"/>
        </w:rPr>
      </w:pPr>
      <w:r>
        <w:rPr>
          <w:rFonts w:ascii="Arial" w:eastAsia="Times New Roman" w:hAnsi="Arial" w:cs="Arial"/>
          <w:b/>
          <w:bCs/>
          <w:color w:val="002060"/>
          <w:kern w:val="0"/>
          <w:sz w:val="32"/>
          <w:szCs w:val="32"/>
          <w:u w:val="single"/>
          <w:lang w:eastAsia="en-GB"/>
          <w14:ligatures w14:val="none"/>
        </w:rPr>
        <w:t xml:space="preserve">Funding schemes </w:t>
      </w:r>
    </w:p>
    <w:p w14:paraId="2B752049" w14:textId="77777777" w:rsidR="00FF50AC" w:rsidRPr="00FF50AC" w:rsidRDefault="00FF50AC" w:rsidP="00FF50AC">
      <w:pPr>
        <w:shd w:val="clear" w:color="auto" w:fill="FFFFFF"/>
        <w:outlineLvl w:val="2"/>
        <w:rPr>
          <w:rFonts w:ascii="Arial" w:eastAsia="Times New Roman" w:hAnsi="Arial" w:cs="Arial"/>
          <w:b/>
          <w:bCs/>
          <w:color w:val="333333"/>
          <w:kern w:val="0"/>
          <w:sz w:val="32"/>
          <w:szCs w:val="32"/>
          <w:u w:val="single"/>
          <w:lang w:eastAsia="en-GB"/>
          <w14:ligatures w14:val="none"/>
        </w:rPr>
      </w:pPr>
    </w:p>
    <w:p w14:paraId="476450BC" w14:textId="77777777" w:rsidR="00FF50AC" w:rsidRDefault="00FF50AC" w:rsidP="00FF50AC">
      <w:pPr>
        <w:shd w:val="clear" w:color="auto" w:fill="FFFFFF"/>
        <w:outlineLvl w:val="2"/>
        <w:rPr>
          <w:rFonts w:ascii="Arial" w:eastAsia="Times New Roman" w:hAnsi="Arial" w:cs="Arial"/>
          <w:b/>
          <w:bCs/>
          <w:color w:val="333333"/>
          <w:kern w:val="0"/>
          <w:sz w:val="32"/>
          <w:szCs w:val="32"/>
          <w:lang w:eastAsia="en-GB"/>
          <w14:ligatures w14:val="none"/>
        </w:rPr>
      </w:pPr>
      <w:r>
        <w:rPr>
          <w:rFonts w:ascii="Arial" w:eastAsia="Times New Roman" w:hAnsi="Arial" w:cs="Arial"/>
          <w:b/>
          <w:bCs/>
          <w:color w:val="333333"/>
          <w:kern w:val="0"/>
          <w:sz w:val="32"/>
          <w:szCs w:val="32"/>
          <w:lang w:eastAsia="en-GB"/>
          <w14:ligatures w14:val="none"/>
        </w:rPr>
        <w:t xml:space="preserve">We offer </w:t>
      </w:r>
      <w:proofErr w:type="gramStart"/>
      <w:r>
        <w:rPr>
          <w:rFonts w:ascii="Arial" w:eastAsia="Times New Roman" w:hAnsi="Arial" w:cs="Arial"/>
          <w:b/>
          <w:bCs/>
          <w:color w:val="333333"/>
          <w:kern w:val="0"/>
          <w:sz w:val="32"/>
          <w:szCs w:val="32"/>
          <w:lang w:eastAsia="en-GB"/>
          <w14:ligatures w14:val="none"/>
        </w:rPr>
        <w:t>15 hour</w:t>
      </w:r>
      <w:proofErr w:type="gramEnd"/>
      <w:r>
        <w:rPr>
          <w:rFonts w:ascii="Arial" w:eastAsia="Times New Roman" w:hAnsi="Arial" w:cs="Arial"/>
          <w:b/>
          <w:bCs/>
          <w:color w:val="333333"/>
          <w:kern w:val="0"/>
          <w:sz w:val="32"/>
          <w:szCs w:val="32"/>
          <w:lang w:eastAsia="en-GB"/>
          <w14:ligatures w14:val="none"/>
        </w:rPr>
        <w:t xml:space="preserve"> funding to all qualifying children</w:t>
      </w:r>
    </w:p>
    <w:p w14:paraId="6E7A0952" w14:textId="0066E963" w:rsidR="00FF50AC" w:rsidRDefault="00FF50AC" w:rsidP="00FF50AC">
      <w:pPr>
        <w:shd w:val="clear" w:color="auto" w:fill="FFFFFF"/>
        <w:spacing w:before="100" w:beforeAutospacing="1" w:after="100" w:afterAutospacing="1"/>
        <w:rPr>
          <w:rFonts w:ascii="Poppins" w:eastAsia="Times New Roman" w:hAnsi="Poppins" w:cs="Poppins"/>
          <w:kern w:val="0"/>
          <w:sz w:val="24"/>
          <w:szCs w:val="24"/>
          <w:lang w:eastAsia="en-GB"/>
          <w14:ligatures w14:val="none"/>
        </w:rPr>
      </w:pPr>
      <w:r w:rsidRPr="00101132">
        <w:rPr>
          <w:rFonts w:ascii="Poppins" w:eastAsia="Times New Roman" w:hAnsi="Poppins" w:cs="Poppins"/>
          <w:color w:val="002060"/>
          <w:kern w:val="0"/>
          <w:sz w:val="24"/>
          <w:szCs w:val="24"/>
          <w:lang w:eastAsia="en-GB"/>
          <w14:ligatures w14:val="none"/>
        </w:rPr>
        <w:t xml:space="preserve">At Village Nurseries, we offer families childcare funding where eligible. We also accept various childcare vouchers, such as </w:t>
      </w:r>
      <w:proofErr w:type="spellStart"/>
      <w:r w:rsidRPr="00101132">
        <w:rPr>
          <w:rFonts w:ascii="Poppins" w:eastAsia="Times New Roman" w:hAnsi="Poppins" w:cs="Poppins"/>
          <w:color w:val="002060"/>
          <w:kern w:val="0"/>
          <w:sz w:val="24"/>
          <w:szCs w:val="24"/>
          <w:lang w:eastAsia="en-GB"/>
          <w14:ligatures w14:val="none"/>
        </w:rPr>
        <w:t>Edenred</w:t>
      </w:r>
      <w:proofErr w:type="spellEnd"/>
      <w:r w:rsidRPr="00101132">
        <w:rPr>
          <w:rFonts w:ascii="Poppins" w:eastAsia="Times New Roman" w:hAnsi="Poppins" w:cs="Poppins"/>
          <w:color w:val="002060"/>
          <w:kern w:val="0"/>
          <w:sz w:val="24"/>
          <w:szCs w:val="24"/>
          <w:lang w:eastAsia="en-GB"/>
          <w14:ligatures w14:val="none"/>
        </w:rPr>
        <w:t xml:space="preserve">, Computershare and </w:t>
      </w:r>
      <w:proofErr w:type="spellStart"/>
      <w:r w:rsidRPr="00101132">
        <w:rPr>
          <w:rFonts w:ascii="Poppins" w:eastAsia="Times New Roman" w:hAnsi="Poppins" w:cs="Poppins"/>
          <w:color w:val="002060"/>
          <w:kern w:val="0"/>
          <w:sz w:val="24"/>
          <w:szCs w:val="24"/>
          <w:lang w:eastAsia="en-GB"/>
          <w14:ligatures w14:val="none"/>
        </w:rPr>
        <w:t>Fideliti</w:t>
      </w:r>
      <w:proofErr w:type="spellEnd"/>
      <w:r w:rsidRPr="00101132">
        <w:rPr>
          <w:rFonts w:ascii="Poppins" w:eastAsia="Times New Roman" w:hAnsi="Poppins" w:cs="Poppins"/>
          <w:kern w:val="0"/>
          <w:sz w:val="24"/>
          <w:szCs w:val="24"/>
          <w:lang w:eastAsia="en-GB"/>
          <w14:ligatures w14:val="none"/>
        </w:rPr>
        <w:t xml:space="preserve">. </w:t>
      </w:r>
    </w:p>
    <w:p w14:paraId="5F368E67" w14:textId="6FAA431F" w:rsidR="00101132" w:rsidRPr="00101132" w:rsidRDefault="00101132" w:rsidP="00FF50AC">
      <w:pPr>
        <w:shd w:val="clear" w:color="auto" w:fill="FFFFFF"/>
        <w:spacing w:before="100" w:beforeAutospacing="1" w:after="100" w:afterAutospacing="1"/>
        <w:rPr>
          <w:rFonts w:ascii="Poppins" w:eastAsia="Times New Roman" w:hAnsi="Poppins" w:cs="Poppins"/>
          <w:kern w:val="0"/>
          <w:sz w:val="24"/>
          <w:szCs w:val="24"/>
          <w:lang w:eastAsia="en-GB"/>
          <w14:ligatures w14:val="none"/>
        </w:rPr>
      </w:pPr>
      <w:r w:rsidRPr="00101132">
        <w:rPr>
          <w:rFonts w:ascii="Poppins" w:eastAsia="Times New Roman" w:hAnsi="Poppins" w:cs="Poppins"/>
          <w:color w:val="002060"/>
          <w:kern w:val="0"/>
          <w:sz w:val="24"/>
          <w:szCs w:val="24"/>
          <w:lang w:eastAsia="en-GB"/>
          <w14:ligatures w14:val="none"/>
        </w:rPr>
        <w:t>To check your eligibility</w:t>
      </w:r>
      <w:r>
        <w:rPr>
          <w:rFonts w:ascii="Poppins" w:eastAsia="Times New Roman" w:hAnsi="Poppins" w:cs="Poppins"/>
          <w:color w:val="002060"/>
          <w:kern w:val="0"/>
          <w:sz w:val="24"/>
          <w:szCs w:val="24"/>
          <w:lang w:eastAsia="en-GB"/>
          <w14:ligatures w14:val="none"/>
        </w:rPr>
        <w:t xml:space="preserve"> please click on the following link:</w:t>
      </w:r>
      <w:r w:rsidRPr="00101132">
        <w:rPr>
          <w:rFonts w:ascii="Poppins" w:eastAsia="Times New Roman" w:hAnsi="Poppins" w:cs="Poppins"/>
          <w:color w:val="002060"/>
          <w:kern w:val="0"/>
          <w:sz w:val="24"/>
          <w:szCs w:val="24"/>
          <w:lang w:eastAsia="en-GB"/>
          <w14:ligatures w14:val="none"/>
        </w:rPr>
        <w:t xml:space="preserve"> </w:t>
      </w:r>
      <w:hyperlink r:id="rId5" w:history="1">
        <w:r w:rsidRPr="00425B37">
          <w:rPr>
            <w:rStyle w:val="Hyperlink"/>
            <w:rFonts w:ascii="Poppins" w:eastAsia="Times New Roman" w:hAnsi="Poppins" w:cs="Poppins"/>
            <w:kern w:val="0"/>
            <w:sz w:val="24"/>
            <w:szCs w:val="24"/>
            <w:lang w:eastAsia="en-GB"/>
            <w14:ligatures w14:val="none"/>
          </w:rPr>
          <w:t>www.childcarechoices.gov.uk</w:t>
        </w:r>
      </w:hyperlink>
      <w:r>
        <w:rPr>
          <w:rFonts w:ascii="Poppins" w:eastAsia="Times New Roman" w:hAnsi="Poppins" w:cs="Poppins"/>
          <w:kern w:val="0"/>
          <w:sz w:val="24"/>
          <w:szCs w:val="24"/>
          <w:lang w:eastAsia="en-GB"/>
          <w14:ligatures w14:val="none"/>
        </w:rPr>
        <w:t xml:space="preserve"> </w:t>
      </w:r>
    </w:p>
    <w:p w14:paraId="5AC48480" w14:textId="77777777" w:rsidR="00FF50AC" w:rsidRDefault="00FF50AC" w:rsidP="00FF50AC">
      <w:pPr>
        <w:shd w:val="clear" w:color="auto" w:fill="FFFFFF"/>
        <w:spacing w:before="100" w:beforeAutospacing="1" w:after="30"/>
        <w:outlineLvl w:val="2"/>
        <w:rPr>
          <w:rFonts w:ascii="Arial" w:eastAsia="Times New Roman" w:hAnsi="Arial" w:cs="Arial"/>
          <w:b/>
          <w:bCs/>
          <w:color w:val="333333"/>
          <w:kern w:val="0"/>
          <w:sz w:val="33"/>
          <w:szCs w:val="33"/>
          <w:lang w:eastAsia="en-GB"/>
          <w14:ligatures w14:val="none"/>
        </w:rPr>
      </w:pPr>
      <w:r>
        <w:rPr>
          <w:rFonts w:ascii="Arial" w:eastAsia="Times New Roman" w:hAnsi="Arial" w:cs="Arial"/>
          <w:b/>
          <w:bCs/>
          <w:color w:val="333333"/>
          <w:kern w:val="0"/>
          <w:sz w:val="33"/>
          <w:szCs w:val="33"/>
          <w:lang w:eastAsia="en-GB"/>
          <w14:ligatures w14:val="none"/>
        </w:rPr>
        <w:t>TAX-FREE CHILDCARE</w:t>
      </w:r>
    </w:p>
    <w:p w14:paraId="34A51E39" w14:textId="628D0AF9" w:rsidR="00FF50AC" w:rsidRPr="00FF50AC" w:rsidRDefault="00FF50AC" w:rsidP="00FF50AC">
      <w:pPr>
        <w:pStyle w:val="ListParagraph"/>
        <w:shd w:val="clear" w:color="auto" w:fill="FFFFFF"/>
        <w:spacing w:before="100" w:beforeAutospacing="1" w:after="30"/>
        <w:outlineLvl w:val="2"/>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 xml:space="preserve">Tax-Free childcare is a UK government initiative designed to help working parents with the cost of childcare. </w:t>
      </w:r>
    </w:p>
    <w:p w14:paraId="0EBD4F7C" w14:textId="77777777" w:rsidR="00FF50AC" w:rsidRPr="00FF50AC" w:rsidRDefault="00FF50AC" w:rsidP="00FF50AC">
      <w:pPr>
        <w:numPr>
          <w:ilvl w:val="0"/>
          <w:numId w:val="2"/>
        </w:numPr>
        <w:shd w:val="clear" w:color="auto" w:fill="FFFFFF"/>
        <w:spacing w:after="150"/>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Earning under £100k and an average of £167 per week (equal to 16 hours at the National Minimum or Living Wage) each over three months</w:t>
      </w:r>
    </w:p>
    <w:p w14:paraId="0F9F0411" w14:textId="77777777" w:rsidR="00FF50AC" w:rsidRPr="00FF50AC" w:rsidRDefault="00FF50AC" w:rsidP="00FF50AC">
      <w:pPr>
        <w:numPr>
          <w:ilvl w:val="0"/>
          <w:numId w:val="2"/>
        </w:numPr>
        <w:shd w:val="clear" w:color="auto" w:fill="FFFFFF"/>
        <w:spacing w:after="150"/>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Who aren't receiving Tax Credits, Universal Credit or childcare vouchers</w:t>
      </w:r>
    </w:p>
    <w:p w14:paraId="626BC69B" w14:textId="77777777" w:rsidR="00FF50AC" w:rsidRPr="00FF50AC" w:rsidRDefault="00FF50AC" w:rsidP="00FF50AC">
      <w:pPr>
        <w:numPr>
          <w:ilvl w:val="0"/>
          <w:numId w:val="2"/>
        </w:numPr>
        <w:shd w:val="clear" w:color="auto" w:fill="FFFFFF"/>
        <w:spacing w:after="150"/>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With children aged 0-11 (or 0-16 if disabled)</w:t>
      </w:r>
    </w:p>
    <w:p w14:paraId="68368C55" w14:textId="26FFC720" w:rsidR="00FF50AC" w:rsidRPr="00FF50AC" w:rsidRDefault="00FF50AC" w:rsidP="00FF50AC">
      <w:pPr>
        <w:numPr>
          <w:ilvl w:val="0"/>
          <w:numId w:val="2"/>
        </w:numPr>
        <w:shd w:val="clear" w:color="auto" w:fill="FFFFFF"/>
        <w:spacing w:after="150"/>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For every £8 you pay into an online account, the government will add an extra £2, up to £2,000 per child per year</w:t>
      </w:r>
      <w:r>
        <w:rPr>
          <w:rFonts w:ascii="Poppins" w:eastAsia="Times New Roman" w:hAnsi="Poppins" w:cs="Poppins"/>
          <w:color w:val="002060"/>
          <w:kern w:val="0"/>
          <w:sz w:val="23"/>
          <w:szCs w:val="23"/>
          <w:lang w:eastAsia="en-GB"/>
          <w14:ligatures w14:val="none"/>
        </w:rPr>
        <w:t>.</w:t>
      </w:r>
    </w:p>
    <w:p w14:paraId="2A014BD3" w14:textId="4CD9DC94" w:rsidR="00FF50AC" w:rsidRPr="00FF50AC" w:rsidRDefault="00FF50AC" w:rsidP="00FF50AC">
      <w:pPr>
        <w:shd w:val="clear" w:color="auto" w:fill="FFFFFF"/>
        <w:spacing w:before="100" w:beforeAutospacing="1" w:after="30"/>
        <w:outlineLvl w:val="2"/>
        <w:rPr>
          <w:rFonts w:ascii="Arial" w:eastAsia="Times New Roman" w:hAnsi="Arial" w:cs="Arial"/>
          <w:b/>
          <w:bCs/>
          <w:color w:val="333333"/>
          <w:kern w:val="0"/>
          <w:sz w:val="33"/>
          <w:szCs w:val="33"/>
          <w:lang w:eastAsia="en-GB"/>
          <w14:ligatures w14:val="none"/>
        </w:rPr>
      </w:pPr>
      <w:r>
        <w:rPr>
          <w:rFonts w:ascii="Arial" w:eastAsia="Times New Roman" w:hAnsi="Arial" w:cs="Arial"/>
          <w:b/>
          <w:bCs/>
          <w:color w:val="333333"/>
          <w:kern w:val="0"/>
          <w:sz w:val="33"/>
          <w:szCs w:val="33"/>
          <w:lang w:eastAsia="en-GB"/>
          <w14:ligatures w14:val="none"/>
        </w:rPr>
        <w:t>15 HOURS</w:t>
      </w:r>
      <w:r w:rsidR="00101132">
        <w:rPr>
          <w:rFonts w:ascii="Arial" w:eastAsia="Times New Roman" w:hAnsi="Arial" w:cs="Arial"/>
          <w:b/>
          <w:bCs/>
          <w:color w:val="333333"/>
          <w:kern w:val="0"/>
          <w:sz w:val="33"/>
          <w:szCs w:val="33"/>
          <w:lang w:eastAsia="en-GB"/>
          <w14:ligatures w14:val="none"/>
        </w:rPr>
        <w:t xml:space="preserve"> -</w:t>
      </w:r>
      <w:r>
        <w:rPr>
          <w:rFonts w:ascii="Arial" w:eastAsia="Times New Roman" w:hAnsi="Arial" w:cs="Arial"/>
          <w:b/>
          <w:bCs/>
          <w:color w:val="333333"/>
          <w:kern w:val="0"/>
          <w:sz w:val="33"/>
          <w:szCs w:val="33"/>
          <w:lang w:eastAsia="en-GB"/>
          <w14:ligatures w14:val="none"/>
        </w:rPr>
        <w:t xml:space="preserve"> FREE CHILDCARE</w:t>
      </w:r>
    </w:p>
    <w:p w14:paraId="4CDF0365" w14:textId="77777777" w:rsidR="00FF50AC" w:rsidRPr="00FF50AC" w:rsidRDefault="00FF50AC" w:rsidP="00FF50AC">
      <w:pPr>
        <w:shd w:val="clear" w:color="auto" w:fill="FFFFFF"/>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color w:val="002060"/>
          <w:kern w:val="0"/>
          <w:sz w:val="23"/>
          <w:szCs w:val="23"/>
          <w:lang w:eastAsia="en-GB"/>
          <w14:ligatures w14:val="none"/>
        </w:rPr>
        <w:t xml:space="preserve">15 hours of free childcare is available for all families in England for </w:t>
      </w:r>
      <w:proofErr w:type="gramStart"/>
      <w:r w:rsidRPr="00FF50AC">
        <w:rPr>
          <w:rFonts w:ascii="Poppins" w:eastAsia="Times New Roman" w:hAnsi="Poppins" w:cs="Poppins"/>
          <w:color w:val="002060"/>
          <w:kern w:val="0"/>
          <w:sz w:val="23"/>
          <w:szCs w:val="23"/>
          <w:lang w:eastAsia="en-GB"/>
          <w14:ligatures w14:val="none"/>
        </w:rPr>
        <w:t>2 year olds</w:t>
      </w:r>
      <w:proofErr w:type="gramEnd"/>
      <w:r w:rsidRPr="00FF50AC">
        <w:rPr>
          <w:rFonts w:ascii="Poppins" w:eastAsia="Times New Roman" w:hAnsi="Poppins" w:cs="Poppins"/>
          <w:color w:val="002060"/>
          <w:kern w:val="0"/>
          <w:sz w:val="23"/>
          <w:szCs w:val="23"/>
          <w:lang w:eastAsia="en-GB"/>
          <w14:ligatures w14:val="none"/>
        </w:rPr>
        <w:t xml:space="preserve"> and 3 and 4 year olds subject to availability. This equates to 5 sessions per week over 38 weeks of the year (up to 570 hours per year). </w:t>
      </w:r>
    </w:p>
    <w:p w14:paraId="7DAD41C2" w14:textId="77777777" w:rsidR="00067865" w:rsidRDefault="00067865"/>
    <w:p w14:paraId="6F490A24" w14:textId="77777777" w:rsidR="00FF50AC" w:rsidRDefault="00FF50AC">
      <w:pPr>
        <w:rPr>
          <w:rFonts w:ascii="Arial" w:eastAsia="Times New Roman" w:hAnsi="Arial" w:cs="Arial"/>
          <w:b/>
          <w:bCs/>
          <w:color w:val="333333"/>
          <w:kern w:val="0"/>
          <w:sz w:val="33"/>
          <w:szCs w:val="33"/>
          <w:lang w:eastAsia="en-GB"/>
          <w14:ligatures w14:val="none"/>
        </w:rPr>
      </w:pPr>
    </w:p>
    <w:p w14:paraId="4B80330F" w14:textId="3F6E928A" w:rsidR="00FF50AC" w:rsidRPr="00FF50AC" w:rsidRDefault="00FF50AC">
      <w:pPr>
        <w:rPr>
          <w:rFonts w:ascii="Arial" w:eastAsia="Times New Roman" w:hAnsi="Arial" w:cs="Arial"/>
          <w:b/>
          <w:bCs/>
          <w:color w:val="333333"/>
          <w:kern w:val="0"/>
          <w:sz w:val="33"/>
          <w:szCs w:val="33"/>
          <w:lang w:eastAsia="en-GB"/>
          <w14:ligatures w14:val="none"/>
        </w:rPr>
      </w:pPr>
      <w:r w:rsidRPr="00FF50AC">
        <w:rPr>
          <w:rFonts w:ascii="Arial" w:eastAsia="Times New Roman" w:hAnsi="Arial" w:cs="Arial"/>
          <w:b/>
          <w:bCs/>
          <w:color w:val="333333"/>
          <w:kern w:val="0"/>
          <w:sz w:val="33"/>
          <w:szCs w:val="33"/>
          <w:lang w:eastAsia="en-GB"/>
          <w14:ligatures w14:val="none"/>
        </w:rPr>
        <w:t xml:space="preserve">15 </w:t>
      </w:r>
      <w:r>
        <w:rPr>
          <w:rFonts w:ascii="Arial" w:eastAsia="Times New Roman" w:hAnsi="Arial" w:cs="Arial"/>
          <w:b/>
          <w:bCs/>
          <w:color w:val="333333"/>
          <w:kern w:val="0"/>
          <w:sz w:val="33"/>
          <w:szCs w:val="33"/>
          <w:lang w:eastAsia="en-GB"/>
          <w14:ligatures w14:val="none"/>
        </w:rPr>
        <w:t xml:space="preserve">HOURS </w:t>
      </w:r>
      <w:r w:rsidR="00101132">
        <w:rPr>
          <w:rFonts w:ascii="Arial" w:eastAsia="Times New Roman" w:hAnsi="Arial" w:cs="Arial"/>
          <w:b/>
          <w:bCs/>
          <w:color w:val="333333"/>
          <w:kern w:val="0"/>
          <w:sz w:val="33"/>
          <w:szCs w:val="33"/>
          <w:lang w:eastAsia="en-GB"/>
          <w14:ligatures w14:val="none"/>
        </w:rPr>
        <w:t xml:space="preserve">- </w:t>
      </w:r>
      <w:r w:rsidRPr="00FF50AC">
        <w:rPr>
          <w:rFonts w:ascii="Arial" w:eastAsia="Times New Roman" w:hAnsi="Arial" w:cs="Arial"/>
          <w:b/>
          <w:bCs/>
          <w:color w:val="333333"/>
          <w:kern w:val="0"/>
          <w:sz w:val="33"/>
          <w:szCs w:val="33"/>
          <w:lang w:eastAsia="en-GB"/>
          <w14:ligatures w14:val="none"/>
        </w:rPr>
        <w:t xml:space="preserve">2 </w:t>
      </w:r>
      <w:r>
        <w:rPr>
          <w:rFonts w:ascii="Arial" w:eastAsia="Times New Roman" w:hAnsi="Arial" w:cs="Arial"/>
          <w:b/>
          <w:bCs/>
          <w:color w:val="333333"/>
          <w:kern w:val="0"/>
          <w:sz w:val="33"/>
          <w:szCs w:val="33"/>
          <w:lang w:eastAsia="en-GB"/>
          <w14:ligatures w14:val="none"/>
        </w:rPr>
        <w:t>YEAR FUNDING</w:t>
      </w:r>
    </w:p>
    <w:p w14:paraId="3B7612E7" w14:textId="58A4EC50" w:rsidR="00FF50AC" w:rsidRPr="00FF50AC" w:rsidRDefault="00FF50AC" w:rsidP="00FF50AC">
      <w:pPr>
        <w:pStyle w:val="NormalWeb"/>
        <w:shd w:val="clear" w:color="auto" w:fill="FFFFFF"/>
        <w:rPr>
          <w:rFonts w:ascii="Poppins" w:hAnsi="Poppins" w:cs="Poppins"/>
          <w:color w:val="002060"/>
          <w:sz w:val="23"/>
          <w:szCs w:val="23"/>
        </w:rPr>
      </w:pPr>
      <w:r w:rsidRPr="00FF50AC">
        <w:rPr>
          <w:rFonts w:ascii="Poppins" w:hAnsi="Poppins" w:cs="Poppins"/>
          <w:b/>
          <w:bCs/>
          <w:sz w:val="23"/>
          <w:szCs w:val="23"/>
        </w:rPr>
        <w:t>Together for 2s (TF2YO)</w:t>
      </w:r>
      <w:r w:rsidRPr="00FF50AC">
        <w:rPr>
          <w:rFonts w:ascii="Poppins" w:hAnsi="Poppins" w:cs="Poppins"/>
          <w:sz w:val="23"/>
          <w:szCs w:val="23"/>
        </w:rPr>
        <w:t xml:space="preserve"> </w:t>
      </w:r>
      <w:r w:rsidRPr="00FF50AC">
        <w:rPr>
          <w:rFonts w:ascii="Poppins" w:hAnsi="Poppins" w:cs="Poppins"/>
          <w:color w:val="002060"/>
          <w:sz w:val="23"/>
          <w:szCs w:val="23"/>
        </w:rPr>
        <w:t>– This is the existing 2-year-old funding which has now been renamed. This funding stream is based on economic, DLA, CLA, NRFP or EHCP criteria. Eligibility for the funding stream is checked by the parent through the Bromley website.</w:t>
      </w:r>
      <w:r w:rsidR="00FB68A1">
        <w:rPr>
          <w:rFonts w:ascii="Poppins" w:hAnsi="Poppins" w:cs="Poppins"/>
          <w:color w:val="002060"/>
          <w:sz w:val="23"/>
          <w:szCs w:val="23"/>
        </w:rPr>
        <w:t xml:space="preserve"> </w:t>
      </w:r>
      <w:hyperlink r:id="rId6" w:history="1">
        <w:r w:rsidR="00FB68A1">
          <w:rPr>
            <w:rStyle w:val="Hyperlink"/>
            <w:rFonts w:ascii="Arial" w:hAnsi="Arial" w:cs="Arial"/>
            <w:sz w:val="20"/>
            <w:szCs w:val="20"/>
          </w:rPr>
          <w:t>Bromley Eligibility Checker</w:t>
        </w:r>
      </w:hyperlink>
      <w:r w:rsidRPr="00FF50AC">
        <w:rPr>
          <w:rFonts w:ascii="Poppins" w:hAnsi="Poppins" w:cs="Poppins"/>
          <w:color w:val="002060"/>
          <w:sz w:val="23"/>
          <w:szCs w:val="23"/>
        </w:rPr>
        <w:t xml:space="preserve"> </w:t>
      </w:r>
      <w:r w:rsidR="00A8182B">
        <w:rPr>
          <w:rFonts w:ascii="Poppins" w:hAnsi="Poppins" w:cs="Poppins"/>
          <w:color w:val="002060"/>
          <w:sz w:val="23"/>
          <w:szCs w:val="23"/>
        </w:rPr>
        <w:t>The code should start EY2_SENT.</w:t>
      </w:r>
    </w:p>
    <w:p w14:paraId="3BC0074D" w14:textId="71F49BD7" w:rsidR="00FF50AC" w:rsidRDefault="00FF50AC" w:rsidP="00FF50AC">
      <w:pPr>
        <w:rPr>
          <w:rFonts w:ascii="Poppins" w:eastAsia="Times New Roman" w:hAnsi="Poppins" w:cs="Poppins"/>
          <w:color w:val="002060"/>
          <w:kern w:val="0"/>
          <w:sz w:val="23"/>
          <w:szCs w:val="23"/>
          <w:lang w:eastAsia="en-GB"/>
          <w14:ligatures w14:val="none"/>
        </w:rPr>
      </w:pPr>
      <w:r w:rsidRPr="00FF50AC">
        <w:rPr>
          <w:rFonts w:ascii="Poppins" w:eastAsia="Times New Roman" w:hAnsi="Poppins" w:cs="Poppins"/>
          <w:b/>
          <w:bCs/>
          <w:kern w:val="0"/>
          <w:sz w:val="23"/>
          <w:szCs w:val="23"/>
          <w:lang w:eastAsia="en-GB"/>
          <w14:ligatures w14:val="none"/>
        </w:rPr>
        <w:t>2-Year-old funding for working families (2YOW)</w:t>
      </w:r>
      <w:r w:rsidRPr="00FF50AC">
        <w:rPr>
          <w:rFonts w:ascii="Poppins" w:eastAsia="Times New Roman" w:hAnsi="Poppins" w:cs="Poppins"/>
          <w:kern w:val="0"/>
          <w:sz w:val="23"/>
          <w:szCs w:val="23"/>
          <w:lang w:eastAsia="en-GB"/>
          <w14:ligatures w14:val="none"/>
        </w:rPr>
        <w:t xml:space="preserve"> </w:t>
      </w:r>
      <w:r w:rsidRPr="00FF50AC">
        <w:rPr>
          <w:rFonts w:ascii="Poppins" w:eastAsia="Times New Roman" w:hAnsi="Poppins" w:cs="Poppins"/>
          <w:color w:val="002060"/>
          <w:kern w:val="0"/>
          <w:sz w:val="23"/>
          <w:szCs w:val="23"/>
          <w:lang w:eastAsia="en-GB"/>
          <w14:ligatures w14:val="none"/>
        </w:rPr>
        <w:t xml:space="preserve">– This funding stream </w:t>
      </w:r>
      <w:r w:rsidR="00101132">
        <w:rPr>
          <w:rFonts w:ascii="Poppins" w:eastAsia="Times New Roman" w:hAnsi="Poppins" w:cs="Poppins"/>
          <w:color w:val="002060"/>
          <w:kern w:val="0"/>
          <w:sz w:val="23"/>
          <w:szCs w:val="23"/>
          <w:lang w:eastAsia="en-GB"/>
          <w14:ligatures w14:val="none"/>
        </w:rPr>
        <w:t>was</w:t>
      </w:r>
      <w:r w:rsidRPr="00FF50AC">
        <w:rPr>
          <w:rFonts w:ascii="Poppins" w:eastAsia="Times New Roman" w:hAnsi="Poppins" w:cs="Poppins"/>
          <w:color w:val="002060"/>
          <w:kern w:val="0"/>
          <w:sz w:val="23"/>
          <w:szCs w:val="23"/>
          <w:lang w:eastAsia="en-GB"/>
          <w14:ligatures w14:val="none"/>
        </w:rPr>
        <w:t xml:space="preserve"> introduced from April 2024. This is up to 570 hours of funded childcare for </w:t>
      </w:r>
      <w:r w:rsidRPr="00FF50AC">
        <w:rPr>
          <w:rFonts w:ascii="Poppins" w:eastAsia="Times New Roman" w:hAnsi="Poppins" w:cs="Poppins"/>
          <w:color w:val="002060"/>
          <w:kern w:val="0"/>
          <w:sz w:val="23"/>
          <w:szCs w:val="23"/>
          <w:u w:val="single"/>
          <w:lang w:eastAsia="en-GB"/>
          <w14:ligatures w14:val="none"/>
        </w:rPr>
        <w:lastRenderedPageBreak/>
        <w:t>working parents</w:t>
      </w:r>
      <w:r w:rsidRPr="00FF50AC">
        <w:rPr>
          <w:rFonts w:ascii="Poppins" w:eastAsia="Times New Roman" w:hAnsi="Poppins" w:cs="Poppins"/>
          <w:color w:val="002060"/>
          <w:kern w:val="0"/>
          <w:sz w:val="23"/>
          <w:szCs w:val="23"/>
          <w:lang w:eastAsia="en-GB"/>
          <w14:ligatures w14:val="none"/>
        </w:rPr>
        <w:t xml:space="preserve"> who meet the eligibility criteria. This is applied for by the parent through HMRC. Both parents must be working. </w:t>
      </w:r>
    </w:p>
    <w:p w14:paraId="7D4D085F" w14:textId="77777777" w:rsidR="00101132" w:rsidRDefault="00101132" w:rsidP="00FF50AC">
      <w:pPr>
        <w:rPr>
          <w:rFonts w:ascii="Poppins" w:eastAsia="Times New Roman" w:hAnsi="Poppins" w:cs="Poppins"/>
          <w:color w:val="002060"/>
          <w:kern w:val="0"/>
          <w:sz w:val="23"/>
          <w:szCs w:val="23"/>
          <w:lang w:eastAsia="en-GB"/>
          <w14:ligatures w14:val="none"/>
        </w:rPr>
      </w:pPr>
    </w:p>
    <w:p w14:paraId="3860C654" w14:textId="7BB79816" w:rsidR="00101132" w:rsidRDefault="00101132" w:rsidP="00FF50AC">
      <w:pPr>
        <w:rPr>
          <w:rFonts w:ascii="Poppins" w:eastAsia="Times New Roman" w:hAnsi="Poppins" w:cs="Poppins"/>
          <w:color w:val="002060"/>
          <w:kern w:val="0"/>
          <w:sz w:val="23"/>
          <w:szCs w:val="23"/>
          <w:lang w:eastAsia="en-GB"/>
          <w14:ligatures w14:val="none"/>
        </w:rPr>
      </w:pPr>
      <w:r>
        <w:rPr>
          <w:noProof/>
        </w:rPr>
        <w:drawing>
          <wp:inline distT="0" distB="0" distL="0" distR="0" wp14:anchorId="4D5285EB" wp14:editId="1391DD9D">
            <wp:extent cx="5731510" cy="2311400"/>
            <wp:effectExtent l="0" t="0" r="2540" b="0"/>
            <wp:docPr id="494321615"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21615" name="Picture 1" descr="A screenshot of a calendar&#10;&#10;AI-generated content may be incorrect."/>
                    <pic:cNvPicPr/>
                  </pic:nvPicPr>
                  <pic:blipFill>
                    <a:blip r:embed="rId7"/>
                    <a:stretch>
                      <a:fillRect/>
                    </a:stretch>
                  </pic:blipFill>
                  <pic:spPr>
                    <a:xfrm>
                      <a:off x="0" y="0"/>
                      <a:ext cx="5731510" cy="2311400"/>
                    </a:xfrm>
                    <a:prstGeom prst="rect">
                      <a:avLst/>
                    </a:prstGeom>
                  </pic:spPr>
                </pic:pic>
              </a:graphicData>
            </a:graphic>
          </wp:inline>
        </w:drawing>
      </w:r>
    </w:p>
    <w:p w14:paraId="4BEAC3DA" w14:textId="77777777" w:rsidR="00101132" w:rsidRDefault="00101132" w:rsidP="00FF50AC">
      <w:pPr>
        <w:rPr>
          <w:rFonts w:ascii="Poppins" w:eastAsia="Times New Roman" w:hAnsi="Poppins" w:cs="Poppins"/>
          <w:color w:val="002060"/>
          <w:kern w:val="0"/>
          <w:sz w:val="23"/>
          <w:szCs w:val="23"/>
          <w:lang w:eastAsia="en-GB"/>
          <w14:ligatures w14:val="none"/>
        </w:rPr>
      </w:pPr>
    </w:p>
    <w:p w14:paraId="271B3162" w14:textId="77777777" w:rsidR="00101132" w:rsidRPr="00FF50AC" w:rsidRDefault="00101132" w:rsidP="00FF50AC">
      <w:pPr>
        <w:rPr>
          <w:rFonts w:ascii="Poppins" w:eastAsia="Times New Roman" w:hAnsi="Poppins" w:cs="Poppins"/>
          <w:color w:val="002060"/>
          <w:kern w:val="0"/>
          <w:sz w:val="23"/>
          <w:szCs w:val="23"/>
          <w:lang w:eastAsia="en-GB"/>
          <w14:ligatures w14:val="none"/>
        </w:rPr>
      </w:pPr>
    </w:p>
    <w:p w14:paraId="5501A725" w14:textId="5219DAF4" w:rsidR="00FF50AC" w:rsidRDefault="00101132">
      <w:r>
        <w:rPr>
          <w:noProof/>
        </w:rPr>
        <w:drawing>
          <wp:inline distT="0" distB="0" distL="0" distR="0" wp14:anchorId="44F1A15A" wp14:editId="2CC4898C">
            <wp:extent cx="5731510" cy="4408170"/>
            <wp:effectExtent l="0" t="0" r="2540" b="0"/>
            <wp:docPr id="1523864186" name="Picture 1" descr="A screenshot of a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64186" name="Picture 1" descr="A screenshot of a application&#10;&#10;AI-generated content may be incorrect."/>
                    <pic:cNvPicPr/>
                  </pic:nvPicPr>
                  <pic:blipFill>
                    <a:blip r:embed="rId8"/>
                    <a:stretch>
                      <a:fillRect/>
                    </a:stretch>
                  </pic:blipFill>
                  <pic:spPr>
                    <a:xfrm>
                      <a:off x="0" y="0"/>
                      <a:ext cx="5731510" cy="4408170"/>
                    </a:xfrm>
                    <a:prstGeom prst="rect">
                      <a:avLst/>
                    </a:prstGeom>
                  </pic:spPr>
                </pic:pic>
              </a:graphicData>
            </a:graphic>
          </wp:inline>
        </w:drawing>
      </w:r>
    </w:p>
    <w:sectPr w:rsidR="00FF5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AB6"/>
    <w:multiLevelType w:val="hybridMultilevel"/>
    <w:tmpl w:val="B3928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60597E"/>
    <w:multiLevelType w:val="multilevel"/>
    <w:tmpl w:val="0356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7474027">
    <w:abstractNumId w:val="0"/>
  </w:num>
  <w:num w:numId="2" w16cid:durableId="56276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AC"/>
    <w:rsid w:val="00067865"/>
    <w:rsid w:val="00101132"/>
    <w:rsid w:val="00127E95"/>
    <w:rsid w:val="00140714"/>
    <w:rsid w:val="006F46B5"/>
    <w:rsid w:val="0077276C"/>
    <w:rsid w:val="00A712D4"/>
    <w:rsid w:val="00A8182B"/>
    <w:rsid w:val="00ED5DF3"/>
    <w:rsid w:val="00FB68A1"/>
    <w:rsid w:val="00FF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B67F"/>
  <w15:chartTrackingRefBased/>
  <w15:docId w15:val="{757A2BA7-EC8B-4227-B837-10AB0188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0AC"/>
    <w:pPr>
      <w:ind w:left="720"/>
    </w:pPr>
  </w:style>
  <w:style w:type="paragraph" w:styleId="NormalWeb">
    <w:name w:val="Normal (Web)"/>
    <w:basedOn w:val="Normal"/>
    <w:uiPriority w:val="99"/>
    <w:semiHidden/>
    <w:unhideWhenUsed/>
    <w:rsid w:val="00FF50A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B68A1"/>
    <w:rPr>
      <w:color w:val="0563C1"/>
      <w:u w:val="single"/>
    </w:rPr>
  </w:style>
  <w:style w:type="character" w:styleId="UnresolvedMention">
    <w:name w:val="Unresolved Mention"/>
    <w:basedOn w:val="DefaultParagraphFont"/>
    <w:uiPriority w:val="99"/>
    <w:semiHidden/>
    <w:unhideWhenUsed/>
    <w:rsid w:val="0010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2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bbrprod.sentinelpartners.co.uk/SentinelPortal/applicationFundedEarly.html" TargetMode="External"/><Relationship Id="rId5" Type="http://schemas.openxmlformats.org/officeDocument/2006/relationships/hyperlink" Target="http://www.childcarechoice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Parry</dc:creator>
  <cp:keywords/>
  <dc:description/>
  <cp:lastModifiedBy>Nigel Parry</cp:lastModifiedBy>
  <cp:revision>2</cp:revision>
  <dcterms:created xsi:type="dcterms:W3CDTF">2025-02-03T12:50:00Z</dcterms:created>
  <dcterms:modified xsi:type="dcterms:W3CDTF">2025-02-03T12:50:00Z</dcterms:modified>
</cp:coreProperties>
</file>